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Javni poziv za podršku lokalnim samoupravama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72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 osnaživanju mehanizama za rodnu ravnopravnost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  <w:color w:val="72737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Najčešća pitanja i odgovori: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  <w:color w:val="72737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  <w:color w:val="ff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highlight w:val="white"/>
          <w:rtl w:val="0"/>
        </w:rPr>
        <w:t xml:space="preserve">Ažurirano: 25. septembra 2020.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firstLine="0"/>
        <w:jc w:val="both"/>
        <w:rPr>
          <w:rFonts w:ascii="Calibri" w:cs="Calibri" w:eastAsia="Calibri" w:hAnsi="Calibri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cccccc" w:val="clear"/>
          <w:rtl w:val="0"/>
        </w:rPr>
        <w:t xml:space="preserve">P1: Da li je moguće naknadno osnivanje mehanizma za rodnu ravnopravnost ukoliko grad/opština nemaju formirano ovo telo?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Javni poziv mogu da se prijave samo jedinice lokalne samouprave koje imaju osnovan mehanizam za rodnu ravnopravnost (Komisija, Savet, Odbor i sl. ili lice koje je imenovano da obavlja te poslove). Dakle, ova odluka/imenovanje mora postojati pre datuma isteka roka za podnošenje predloga projekata. Sve lokalne samouprave koje do 12. oktobra 2020. godine osnuju mehanizam za rodnu ravnopravnost, mogu da podnesu predlog projekta.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cccccc" w:val="clear"/>
          <w:rtl w:val="0"/>
        </w:rPr>
        <w:t xml:space="preserve">P2: Budući da je novi Zakon o javnim nabavkama na snazi od 1. jula 2020. godine, da li Uputstvo o sprovođenju javnih nabavki možemo da dobijemo pre nego što se donese odluka o finansiranju po Javnom pozivu?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Budući da je podnosilac projekta lokalna samouprava, sve javne nabavke sprovodiće se u skladu sa Zakonom o javnim nabavkama Republike Srbije.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cccccc" w:val="clear"/>
          <w:rtl w:val="0"/>
        </w:rPr>
        <w:t xml:space="preserve">P3: Poseban namenski račun za lokalne samouprave uvek bude problem za finansije. 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O3: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Otvaranje posebnog namenskog računa za realizaciju projektnih aktivnosti je dugogodišnja praksa međunarodnih donatora, i za sada, jedina mogućnost predviđena Ugovorom o donaciji. Ipak, UNOPS kontinuirano ulaže napore da se procesno omogući uplata sredstava na uplatni račun javnih prihoda što bi bilo u potpunosti u skladu sa nacionalnim finansijskim regulativama, što trenutno nije moguće usled određenih administrativnih prepreka. Svakako, svi detalji u vezi sa mogućnošću otvaranja namenskog računa i prenosom sredstava biće iskomunicirani sa lokalnim samoupravama čiji predlozi projekata budu izabrani za finansiranje pre potpisivanja Ugovora o donaciji. 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cccccc" w:val="clear"/>
          <w:rtl w:val="0"/>
        </w:rPr>
        <w:t xml:space="preserve">P4: Da li u mehanizam za rodnu ravnopravnost spada i oformljena Komisija za rodnu ravnopravnost (imenovana od strane Skupštine)</w:t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O4: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Da, svako institucionalno rešenje koje se odnosi na bavljenje pitanjima rodne ravnopravnosti.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color w:val="202124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cccccc" w:val="clear"/>
          <w:rtl w:val="0"/>
        </w:rPr>
        <w:t xml:space="preserve">P5: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hd w:fill="cccccc" w:val="clear"/>
          <w:rtl w:val="0"/>
        </w:rPr>
        <w:t xml:space="preserve">Da li se sredstva mogu dodeljivati fizičkim licima ili mora biti reč o vlasnicama poljoprivrednih gazdinstava?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O5: 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Poželjno je da to budu pravna lica. Svakako nije zabranjeno dodeljivanje fizičkim licima uz jasno postavljanje kriterijuma za odabir tih lica.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P6: Da li mora da se izabere samo jedna tematska oblast ili može i više? </w:t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O6: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Predlog projekta može obuhvatiti aktivnosti koje se odnose na više oblasti, s tim da prilikom planiranja treba imati u vidu period trajanja projektnih aktivnosti.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before="0" w:line="276" w:lineRule="auto"/>
        <w:ind w:left="0" w:firstLine="0"/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P7: Koliki je ukupan iznos granta ukoliko se konkuriše sa drugom opštinom? 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O7: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I u ovom slučaju ukupna vrednost projekta ne sme biti veća od sume pojedinačnih projekata kada opština konkuriše samostalno. Dakle, maksimalno 4.000 američkih dolara.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P8: Od kada do kada je planirana realizacija projekata? 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O8: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Sprovođenje projektnih aktivnosti može da traje najmanje 6 (šest) meseci, a najviše 8 (osam) meseci, od datuma potpisivanja ugovora o dodeli bespovratnih sredstava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. Potpisivanje ugovora je planirano za mesec decembar.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P9:Ukoliko je u toku izrada LAP-a za RR, a još uvek nije usvojen, šta priložiti u tom slučaju?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O9: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Budući da postojanje LAP-a nije obavezno, odluku o usvajanju ovog dokumenta prilažu samo JLS koje imaju usvojen LAP. Obavezan dokument za sve JLS je odluka o osnivanju/imenovanju mehanizma za rodnu ravnopravnost.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P10: Da li je eksterna revizija obavezna? 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O10: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Ne, kontrolu svih dokumenata vrši UNOPS, i trošak eksterne revizije nije prihvatljiv trošak.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P11: Koliko ukupno projekata može da bude odobreno u odnosu na ukupan fond? 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O11: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Program će podržati najviše 30 projekata.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P12:Maksimalan iznos (procenat u odnosu na ukupan budžet) za ljudske resurse?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O12: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Prilikom određivanja troškova ljudskih resursa treba da se vodi računa koliko je to u funkciji  realizacije aktivnosti odnosno postizanja rezultata projekta kao krajnjem cilju koji zapravo opravdava sve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troškove u budžetu, pa i ovaj namenjen za ljudske resurse. Naime, iako donatori nerado podržavaju velike procente od ukupnog budžeta koji bi bili opredeljeni za ljudske resurse, odnosno najčešće pristaju na 30% od ukupnog budžeta, ipak se prilikom evaluacije gleda svrsishodnost opredeljenih troškova. Zavisno od teme projekta, ukoliko se u predlogu projekta dokaže da je angažovanje ljudskih resursa sa opredeljnim troškovima potrebno za pravilno funkcionisanje projekta, to će i viši procenat od 30% biti apsolutno prihvatljiv. </w:t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P13: Koji kurs koristimo za planiranje budžeta za deo koji finansira Swiss PRO, a koji za naše učešće? 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O13: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Š</w:t>
      </w:r>
      <w:r w:rsidDel="00000000" w:rsidR="00000000" w:rsidRPr="00000000">
        <w:rPr>
          <w:rFonts w:ascii="Calibri" w:cs="Calibri" w:eastAsia="Calibri" w:hAnsi="Calibri"/>
          <w:color w:val="202124"/>
          <w:rtl w:val="0"/>
        </w:rPr>
        <w:t xml:space="preserve">to se tiče kursa Swiss PRO programa, možete nam se obratiti u toku sastavljanja budžeta i mi ćemo Vam reći kurs za taj mesec u kome pišete predlog projetka (budžet). Za učešće JLS, SREDNJI KURS NBS na dan kada pripremate budžet.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P14: Budžet se iskazuje isključivo u dolarima? 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O14: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Da, budžet se iskazuje isključivo u dolarima.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P15: Da li se dodatno boduju JLS koje su već sprovodile projekte u vezi sa rodnom ravnopravnošću? 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O15: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Da, ovo je jedan od operativnih kriterijuma za evaluaciju projekata. Molimo Vas da pogledate Odeljak 6 Javnog poziva.</w:t>
      </w:r>
    </w:p>
    <w:p w:rsidR="00000000" w:rsidDel="00000000" w:rsidP="00000000" w:rsidRDefault="00000000" w:rsidRPr="00000000" w14:paraId="0000004B">
      <w:pPr>
        <w:shd w:fill="ffffff" w:val="clear"/>
        <w:spacing w:after="0" w:before="0" w:line="276" w:lineRule="auto"/>
        <w:ind w:left="0" w:firstLine="0"/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P16: Opština radi rodno osetljive indikatore pri izradi budžeta već dve godine. Šta priložiti kao dokaz? 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O16: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Podatak možete navesti u prijavi za predlog projekta, uz, na primer, link ka dokumentu gde se to može i proveriti. 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P17:Opština kroz udruženje finansira rad SOS kancelarije za pomoć ženama u situaciji nasilja. Da li se to može predstaviti kao učešće opštine? 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O17: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Uplata sredstava na zajednički račun, namenski otvoren za potrebe sprovođenja projekta, predstavlja jedini prihvatljiv način finansijskog učešća opštine.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P18: Ko je potpisnik ugovora? Predsednik opštine ili imenovano lice za MRR? 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O18: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Predsednik opštine. Predlog projekta podnosi JLS, a MRR je zadužen za sprovođenje projekta.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P19: Da li se međuopštinskom saradnjom smatra saradnja JLS i Udruženja žena iz druge JLS, ili moraju sarađivati isključivo dve JLS? 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O19: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Pod međuopštinskom saradnjom smatramo saradnju dva ili više mehanizama za rodnu ravnopravnost iz dve ili više JLS.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P20: Da li finansiranje ljudskih resursa uključuje i troškove za eksterne stručnjake? 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O20: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Ne. Troškovi spoljnih eksperata planiraju se kao usluga, budžetska linija 4 budžeta projekta - ostali troškovi/usluge.</w:t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P20: Da li je moguće u budžet uključiti troškove reklame na Facebook-u i Instagram-u? </w:t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O20: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Da. Imajte u vidu pravdanje sredstava u smislu neophodne dokumentacije - profakture/fakture, kao i izveštaj o efektima oglašavanja (Facebook Insight/Ads Manager). 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P21: Da li zaposleni u javnim ustanovama mogu biti plaćeni iz projekta? 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O21: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Zaposleni u JLS ne mogu biti plaćeni iz projekta, dok zaposleni u nekoj drugoj javnoj ustanovi (npr. Centar za socijalni rad, Dom zdravlja) mogu biti plaćeni do 30% od njihove zarade u skladu sa važećim zakonom, isključivo ukoliko je to opravdano i u funkciji sprovođenja aktivnosti i ostvarivanja rezultata projekta. </w:t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P22: Da li se prateća dokumentacija prevodi na engleski jezik (odluke, LAP, i sl.)? </w:t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O22: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Ne, ova dokumentacija se ne prevodi.</w:t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P23: Da li zaposleni u JLS mogu biti plaćeni kroz aktivnosti projekta, npr. kao akreditovani predavači? </w:t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O23: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Nažalost, zaposleni u JLS ne mogu biti plaćeni iz projekta ni u tom slučaju.</w:t>
      </w:r>
      <w:r w:rsidDel="00000000" w:rsidR="00000000" w:rsidRPr="00000000">
        <w:rPr>
          <w:rFonts w:ascii="Calibri" w:cs="Calibri" w:eastAsia="Calibri" w:hAnsi="Calibri"/>
          <w:color w:val="2021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b w:val="1"/>
          <w:color w:val="202124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hd w:fill="d9d9d9" w:val="clear"/>
          <w:rtl w:val="0"/>
        </w:rPr>
        <w:t xml:space="preserve">P24: Da li menadžer projekta mora biti lice iz usvojenog MRR? 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highlight w:val="white"/>
          <w:rtl w:val="0"/>
        </w:rPr>
        <w:t xml:space="preserve">O24:</w:t>
      </w: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 Članovi i članice MRR biće zaduženi za sprovođenje projekta, samim tim treba da budu deo projektnog tima. Svakako, u projektnom timu mogu biti i druga lica iz JLS koja će učestvovati u sprovođenju projektnih aktivnosti i ugovornih obaveza. U tom smislu, menadžer/ka projekta može biti ili neko iz MRR ili iz LS.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hd w:fill="ffffff" w:val="clear"/>
      <w:spacing w:line="240" w:lineRule="auto"/>
      <w:jc w:val="center"/>
      <w:rPr>
        <w:rFonts w:ascii="Calibri" w:cs="Calibri" w:eastAsia="Calibri" w:hAnsi="Calibri"/>
        <w:color w:val="80808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18"/>
        <w:szCs w:val="18"/>
        <w:rtl w:val="0"/>
      </w:rPr>
      <w:t xml:space="preserve">Podrška Vlade Švajcarske razvoju opština kroz unapređenje dobrog upravljanja i socijalne uključenosti – Swiss PRO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shd w:fill="ffffff" w:val="clear"/>
      <w:spacing w:line="240" w:lineRule="auto"/>
      <w:jc w:val="center"/>
      <w:rPr>
        <w:rFonts w:ascii="Calibri" w:cs="Calibri" w:eastAsia="Calibri" w:hAnsi="Calibri"/>
        <w:color w:val="80808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808080"/>
        <w:sz w:val="18"/>
        <w:szCs w:val="18"/>
        <w:rtl w:val="0"/>
      </w:rPr>
      <w:t xml:space="preserve">Program Swiss PRO  podržava Vlada Švajcarske u saradnji sa Vladom Srbije, a sprovodi UNOPS u partnerstvu sa SKGO</w:t>
    </w:r>
  </w:p>
  <w:p w:rsidR="00000000" w:rsidDel="00000000" w:rsidP="00000000" w:rsidRDefault="00000000" w:rsidRPr="00000000" w14:paraId="0000007B">
    <w:pPr>
      <w:shd w:fill="ffffff" w:val="clear"/>
      <w:spacing w:line="240" w:lineRule="auto"/>
      <w:jc w:val="center"/>
      <w:rPr/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808080"/>
          <w:sz w:val="18"/>
          <w:szCs w:val="18"/>
          <w:u w:val="single"/>
          <w:rtl w:val="0"/>
        </w:rPr>
        <w:t xml:space="preserve">www.swisspro.org</w:t>
      </w:r>
    </w:hyperlink>
    <w:r w:rsidDel="00000000" w:rsidR="00000000" w:rsidRPr="00000000">
      <w:rPr>
        <w:rFonts w:ascii="Calibri" w:cs="Calibri" w:eastAsia="Calibri" w:hAnsi="Calibri"/>
        <w:b w:val="1"/>
        <w:color w:val="808080"/>
        <w:sz w:val="18"/>
        <w:szCs w:val="18"/>
        <w:u w:val="single"/>
        <w:rtl w:val="0"/>
      </w:rPr>
      <w:t xml:space="preserve">.rs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-771521</wp:posOffset>
          </wp:positionH>
          <wp:positionV relativeFrom="paragraph">
            <wp:posOffset>-457196</wp:posOffset>
          </wp:positionV>
          <wp:extent cx="7488778" cy="9286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88" r="88" t="27067"/>
                  <a:stretch>
                    <a:fillRect/>
                  </a:stretch>
                </pic:blipFill>
                <pic:spPr>
                  <a:xfrm>
                    <a:off x="0" y="0"/>
                    <a:ext cx="7488778" cy="928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wisspro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